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426C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1A07D3A1">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468C7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F1B3ED1">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4A970ED7">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5C12173B">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27C8835C">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32620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457C882D">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7748B563">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1087C4FB">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2386123B">
            <w:pPr>
              <w:widowControl/>
              <w:jc w:val="left"/>
              <w:rPr>
                <w:rFonts w:ascii="宋体" w:hAnsi="宋体" w:eastAsia="宋体" w:cs="宋体"/>
                <w:kern w:val="0"/>
                <w:sz w:val="22"/>
              </w:rPr>
            </w:pPr>
            <w:r>
              <w:rPr>
                <w:rFonts w:hint="eastAsia" w:ascii="宋体" w:hAnsi="宋体" w:eastAsia="宋体" w:cs="宋体"/>
                <w:kern w:val="0"/>
                <w:sz w:val="22"/>
              </w:rPr>
              <w:t>　</w:t>
            </w:r>
          </w:p>
        </w:tc>
      </w:tr>
      <w:tr w14:paraId="359B1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BA7E542">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337288B7">
            <w:pPr>
              <w:widowControl/>
              <w:jc w:val="left"/>
              <w:textAlignment w:val="center"/>
              <w:rPr>
                <w:rFonts w:hint="eastAsia" w:ascii="宋体" w:hAnsi="宋体" w:eastAsia="宋体" w:cs="宋体"/>
                <w:kern w:val="0"/>
                <w:sz w:val="22"/>
                <w:lang w:val="en-US" w:eastAsia="zh-CN"/>
              </w:rPr>
            </w:pPr>
            <w:r>
              <w:rPr>
                <w:rFonts w:hint="eastAsia" w:ascii="宋体" w:hAnsi="宋体" w:cs="宋体"/>
                <w:i w:val="0"/>
                <w:color w:val="000000"/>
                <w:kern w:val="0"/>
                <w:sz w:val="24"/>
                <w:szCs w:val="24"/>
                <w:lang w:val="en-US" w:eastAsia="zh-CN" w:bidi="ar-SA"/>
              </w:rPr>
              <w:t>11.</w:t>
            </w:r>
            <w:r>
              <w:rPr>
                <w:rFonts w:hint="eastAsia" w:ascii="宋体" w:hAnsi="宋体" w:eastAsia="宋体" w:cs="宋体"/>
                <w:i w:val="0"/>
                <w:color w:val="000000"/>
                <w:kern w:val="0"/>
                <w:sz w:val="24"/>
                <w:szCs w:val="24"/>
                <w:lang w:val="en-US" w:eastAsia="zh-CN" w:bidi="ar-SA"/>
              </w:rPr>
              <w:t>典型车床夹具设计</w:t>
            </w:r>
          </w:p>
        </w:tc>
      </w:tr>
      <w:tr w14:paraId="2F404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681652AB">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74201F9D">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0B684FF1">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掌握车床设计基本流程</w:t>
            </w:r>
          </w:p>
        </w:tc>
      </w:tr>
      <w:tr w14:paraId="04109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6469ECDC">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15B1C30D">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270436B6">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掌握车床设计技术要求</w:t>
            </w:r>
          </w:p>
        </w:tc>
      </w:tr>
      <w:tr w14:paraId="4E1DF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7EE6C449">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0BDE07B6">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209DCB42">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掌握车床夹具设计技巧</w:t>
            </w:r>
          </w:p>
        </w:tc>
      </w:tr>
      <w:tr w14:paraId="371F1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4F83B624">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39F8AE67">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35669C28">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22A748E9">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770B197B">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6F8ABB3F">
            <w:pPr>
              <w:widowControl/>
              <w:jc w:val="left"/>
              <w:rPr>
                <w:rFonts w:ascii="宋体" w:hAnsi="宋体" w:eastAsia="宋体" w:cs="宋体"/>
                <w:kern w:val="0"/>
                <w:sz w:val="22"/>
              </w:rPr>
            </w:pPr>
            <w:r>
              <w:rPr>
                <w:rFonts w:hint="eastAsia" w:ascii="宋体" w:hAnsi="宋体" w:eastAsia="宋体" w:cs="宋体"/>
                <w:kern w:val="0"/>
                <w:sz w:val="22"/>
              </w:rPr>
              <w:t>其他</w:t>
            </w:r>
          </w:p>
        </w:tc>
      </w:tr>
      <w:tr w14:paraId="56924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2D1AF28">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5A79642B">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2</w:t>
            </w:r>
          </w:p>
        </w:tc>
        <w:tc>
          <w:tcPr>
            <w:tcW w:w="1855" w:type="dxa"/>
            <w:gridSpan w:val="2"/>
            <w:tcBorders>
              <w:top w:val="nil"/>
              <w:left w:val="nil"/>
              <w:bottom w:val="single" w:color="auto" w:sz="4" w:space="0"/>
              <w:right w:val="single" w:color="auto" w:sz="4" w:space="0"/>
            </w:tcBorders>
            <w:vAlign w:val="center"/>
          </w:tcPr>
          <w:p w14:paraId="116F2D64">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3E98AFFF">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6</w:t>
            </w:r>
          </w:p>
        </w:tc>
        <w:tc>
          <w:tcPr>
            <w:tcW w:w="771" w:type="dxa"/>
            <w:tcBorders>
              <w:top w:val="nil"/>
              <w:left w:val="nil"/>
              <w:bottom w:val="single" w:color="auto" w:sz="4" w:space="0"/>
              <w:right w:val="single" w:color="auto" w:sz="4" w:space="0"/>
            </w:tcBorders>
            <w:vAlign w:val="center"/>
          </w:tcPr>
          <w:p w14:paraId="25ED6949">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55F4BC79">
            <w:pPr>
              <w:widowControl/>
              <w:jc w:val="left"/>
              <w:rPr>
                <w:rFonts w:ascii="宋体" w:hAnsi="宋体" w:eastAsia="宋体" w:cs="宋体"/>
                <w:kern w:val="0"/>
                <w:sz w:val="22"/>
              </w:rPr>
            </w:pPr>
            <w:r>
              <w:rPr>
                <w:rFonts w:hint="eastAsia" w:ascii="宋体" w:hAnsi="宋体" w:eastAsia="宋体" w:cs="宋体"/>
                <w:kern w:val="0"/>
                <w:sz w:val="22"/>
              </w:rPr>
              <w:t>　</w:t>
            </w:r>
          </w:p>
        </w:tc>
      </w:tr>
      <w:tr w14:paraId="46B9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666D2F74">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49E2332B">
            <w:pPr>
              <w:widowControl/>
              <w:jc w:val="left"/>
              <w:rPr>
                <w:rFonts w:ascii="宋体" w:hAnsi="宋体" w:eastAsia="宋体" w:cs="宋体"/>
                <w:kern w:val="0"/>
                <w:sz w:val="22"/>
              </w:rPr>
            </w:pPr>
            <w:r>
              <w:rPr>
                <w:rFonts w:hint="eastAsia" w:ascii="宋体" w:hAnsi="宋体" w:eastAsia="宋体" w:cs="宋体"/>
                <w:kern w:val="0"/>
                <w:sz w:val="22"/>
              </w:rPr>
              <w:t>1.引入新课</w:t>
            </w:r>
          </w:p>
          <w:p w14:paraId="5F803D83">
            <w:pPr>
              <w:widowControl/>
              <w:jc w:val="left"/>
              <w:rPr>
                <w:rFonts w:ascii="宋体" w:hAnsi="宋体" w:eastAsia="宋体" w:cs="宋体"/>
                <w:kern w:val="0"/>
                <w:sz w:val="22"/>
              </w:rPr>
            </w:pPr>
            <w:r>
              <w:rPr>
                <w:rFonts w:hint="eastAsia" w:ascii="宋体" w:hAnsi="宋体" w:eastAsia="宋体" w:cs="宋体"/>
                <w:kern w:val="0"/>
                <w:sz w:val="22"/>
              </w:rPr>
              <w:t>2.讲解</w:t>
            </w:r>
          </w:p>
          <w:p w14:paraId="2D53FFD7">
            <w:pPr>
              <w:widowControl/>
              <w:jc w:val="left"/>
              <w:rPr>
                <w:rFonts w:ascii="宋体" w:hAnsi="宋体" w:eastAsia="宋体" w:cs="宋体"/>
                <w:kern w:val="0"/>
                <w:sz w:val="22"/>
              </w:rPr>
            </w:pPr>
            <w:r>
              <w:rPr>
                <w:rFonts w:hint="eastAsia" w:ascii="宋体" w:hAnsi="宋体" w:eastAsia="宋体" w:cs="宋体"/>
                <w:kern w:val="0"/>
                <w:sz w:val="22"/>
              </w:rPr>
              <w:t>3.</w:t>
            </w:r>
            <w:r>
              <w:rPr>
                <w:rFonts w:hint="eastAsia" w:ascii="宋体" w:hAnsi="宋体" w:cs="宋体"/>
                <w:kern w:val="0"/>
                <w:sz w:val="22"/>
                <w:lang w:val="en-US" w:eastAsia="zh-CN"/>
              </w:rPr>
              <w:t>上机实践</w:t>
            </w:r>
          </w:p>
          <w:p w14:paraId="534F7938">
            <w:pPr>
              <w:widowControl/>
              <w:jc w:val="left"/>
              <w:rPr>
                <w:rFonts w:ascii="宋体" w:hAnsi="宋体" w:eastAsia="宋体" w:cs="宋体"/>
                <w:kern w:val="0"/>
                <w:sz w:val="22"/>
              </w:rPr>
            </w:pPr>
            <w:r>
              <w:rPr>
                <w:rFonts w:hint="eastAsia" w:ascii="宋体" w:hAnsi="宋体" w:eastAsia="宋体" w:cs="宋体"/>
                <w:kern w:val="0"/>
                <w:sz w:val="22"/>
              </w:rPr>
              <w:t>4.归纳总结</w:t>
            </w:r>
          </w:p>
          <w:p w14:paraId="59227500">
            <w:pPr>
              <w:widowControl/>
              <w:jc w:val="left"/>
              <w:rPr>
                <w:rFonts w:ascii="宋体" w:hAnsi="宋体" w:eastAsia="宋体" w:cs="宋体"/>
                <w:kern w:val="0"/>
                <w:sz w:val="22"/>
              </w:rPr>
            </w:pPr>
          </w:p>
        </w:tc>
      </w:tr>
      <w:tr w14:paraId="2D93E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6862ADA0">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57002AA7">
            <w:pPr>
              <w:widowControl/>
              <w:jc w:val="left"/>
              <w:rPr>
                <w:rFonts w:ascii="宋体" w:hAnsi="宋体" w:eastAsia="宋体" w:cs="宋体"/>
                <w:kern w:val="0"/>
                <w:sz w:val="22"/>
              </w:rPr>
            </w:pPr>
            <w:r>
              <w:rPr>
                <w:rFonts w:hint="eastAsia" w:ascii="宋体" w:hAnsi="宋体" w:eastAsia="宋体" w:cs="宋体"/>
                <w:kern w:val="0"/>
                <w:sz w:val="22"/>
              </w:rPr>
              <w:t>　</w:t>
            </w:r>
          </w:p>
        </w:tc>
      </w:tr>
      <w:tr w14:paraId="37C2F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457C2C97">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2D81AA49">
            <w:pPr>
              <w:widowControl/>
              <w:jc w:val="left"/>
              <w:rPr>
                <w:rFonts w:ascii="宋体" w:hAnsi="宋体" w:eastAsia="宋体" w:cs="宋体"/>
                <w:kern w:val="0"/>
                <w:sz w:val="22"/>
              </w:rPr>
            </w:pPr>
            <w:r>
              <w:rPr>
                <w:rFonts w:hint="eastAsia" w:ascii="宋体" w:hAnsi="宋体" w:eastAsia="宋体" w:cs="宋体"/>
                <w:kern w:val="0"/>
                <w:sz w:val="22"/>
              </w:rPr>
              <w:t>　</w:t>
            </w:r>
          </w:p>
        </w:tc>
      </w:tr>
    </w:tbl>
    <w:p w14:paraId="185B9357">
      <w:pPr>
        <w:ind w:firstLine="480"/>
        <w:jc w:val="left"/>
        <w:rPr>
          <w:rFonts w:hint="eastAsia"/>
          <w:b/>
          <w:bCs/>
          <w:lang w:val="en-US" w:eastAsia="zh-CN"/>
        </w:rPr>
      </w:pPr>
      <w:r>
        <w:rPr>
          <w:rFonts w:hint="eastAsia"/>
          <w:b/>
          <w:bCs/>
          <w:lang w:val="en-US" w:eastAsia="zh-CN"/>
        </w:rPr>
        <w:t>授课内容：</w:t>
      </w:r>
    </w:p>
    <w:p w14:paraId="3172898C">
      <w:pPr>
        <w:widowControl w:val="0"/>
        <w:wordWrap/>
        <w:adjustRightInd/>
        <w:snapToGrid/>
        <w:spacing w:before="0" w:after="0" w:line="240" w:lineRule="auto"/>
        <w:ind w:left="0" w:leftChars="0" w:right="0" w:firstLine="480" w:firstLineChars="200"/>
        <w:jc w:val="center"/>
        <w:textAlignment w:val="auto"/>
        <w:outlineLvl w:val="9"/>
        <w:rPr>
          <w:rFonts w:hint="eastAsia"/>
          <w:lang w:val="en-US" w:eastAsia="zh-CN"/>
        </w:rPr>
      </w:pPr>
      <w:r>
        <w:rPr>
          <w:rFonts w:hint="eastAsia" w:ascii="宋体" w:hAnsi="宋体" w:cs="宋体"/>
          <w:i w:val="0"/>
          <w:color w:val="000000"/>
          <w:kern w:val="0"/>
          <w:sz w:val="24"/>
          <w:szCs w:val="24"/>
          <w:lang w:val="en-US" w:eastAsia="zh-CN" w:bidi="ar-SA"/>
        </w:rPr>
        <w:t>11.</w:t>
      </w:r>
      <w:r>
        <w:rPr>
          <w:rFonts w:hint="eastAsia" w:ascii="宋体" w:hAnsi="宋体" w:eastAsia="宋体" w:cs="宋体"/>
          <w:i w:val="0"/>
          <w:color w:val="000000"/>
          <w:kern w:val="0"/>
          <w:sz w:val="24"/>
          <w:szCs w:val="24"/>
          <w:lang w:val="en-US" w:eastAsia="zh-CN" w:bidi="ar-SA"/>
        </w:rPr>
        <w:t>典型车床夹具设计</w:t>
      </w:r>
    </w:p>
    <w:p w14:paraId="7C9C1482">
      <w:pPr>
        <w:widowControl w:val="0"/>
        <w:wordWrap/>
        <w:adjustRightInd/>
        <w:snapToGrid/>
        <w:spacing w:before="0" w:after="0" w:line="360" w:lineRule="auto"/>
        <w:ind w:left="0" w:leftChars="0" w:right="0" w:firstLine="420" w:firstLineChars="200"/>
        <w:jc w:val="left"/>
        <w:textAlignment w:val="auto"/>
        <w:outlineLvl w:val="9"/>
        <w:rPr>
          <w:rFonts w:hint="eastAsia" w:ascii="宋体" w:hAnsi="宋体" w:eastAsia="宋体" w:cs="宋体"/>
          <w:lang w:val="en-US" w:eastAsia="zh-CN"/>
        </w:rPr>
      </w:pPr>
      <w:bookmarkStart w:id="0" w:name="_GoBack"/>
      <w:r>
        <w:rPr>
          <w:rFonts w:hint="eastAsia" w:ascii="宋体" w:hAnsi="宋体" w:cs="宋体"/>
          <w:lang w:val="en-US" w:eastAsia="zh-CN"/>
        </w:rPr>
        <w:t>一、</w:t>
      </w:r>
      <w:r>
        <w:rPr>
          <w:rFonts w:hint="eastAsia" w:ascii="宋体" w:hAnsi="宋体" w:eastAsia="宋体" w:cs="宋体"/>
          <w:lang w:val="en-US" w:eastAsia="zh-CN"/>
        </w:rPr>
        <w:t>车床夹具的分类及设计要点和步骤</w:t>
      </w:r>
    </w:p>
    <w:p w14:paraId="7BB4B4F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首先，要明确工件的加工工艺要求，分析工件工程图所注明的加工精度和已经完工的工序。其次，确定工件的加工方式和定位方案，选择合适的定位元件或支承元件，初步设计出此类元件，并将这些元件的实体与工件的实体组装到一起。再次，确定夹紧方案，初步设计出夹紧机构和元件，并将这些元件按配合关系组装到一起。最后，确定夹具体结构，设计出夹具体及其与机床的连接方式，并通过夹具体将夹具所有元件装配到一起。</w:t>
      </w:r>
      <w:r>
        <w:rPr>
          <w:rFonts w:hint="eastAsia"/>
          <w:lang w:val="en-US" w:eastAsia="zh-CN"/>
        </w:rPr>
        <w:br w:type="textWrapping"/>
      </w:r>
      <w:r>
        <w:rPr>
          <w:rFonts w:hint="eastAsia"/>
          <w:lang w:val="en-US" w:eastAsia="zh-CN"/>
        </w:rPr>
        <w:t>1.确定定位方案</w:t>
      </w:r>
    </w:p>
    <w:p w14:paraId="2C1948D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按拟定的定位方案，根据工件工程图、工序要求和设计任务，选择工件的定位基准。采用UG的建模应用模块设计出工件的实体模型，并按实际加工方位固定在三维空间上。设计出所有定位元件的实体模型，并根据相应的配合方式组装到已完成安装的工件上。</w:t>
      </w:r>
    </w:p>
    <w:p w14:paraId="262E7294">
      <w:pPr>
        <w:widowControl w:val="0"/>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2.确定夹紧方案</w:t>
      </w:r>
    </w:p>
    <w:p w14:paraId="36E3638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按拟定的夹紧方案，根据工件和定位元件的结构及尺寸，设计出所有夹紧元件和相关紧固元件的实体模型，并按相应的配合方式组装到已完成的装配结构中。在装配过程中，如发现配合不合适的地方，对前面所设计的元件进行修改更正，并调整装配结构。</w:t>
      </w:r>
    </w:p>
    <w:p w14:paraId="1203821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3.确定夹具体结构</w:t>
      </w:r>
    </w:p>
    <w:p w14:paraId="5098993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按拟定的夹具结构，根据工件、定位元件和夹紧元件设计出夹具体、相关紧固元件和辅助元件的实体模型，并按照相应的配合方式组装到已完成的装配结构中。在装配过程中，如发现配合不合适的地方，可对前面所设计的元件进行修改更正，并调整装配结构。完成全部装配后，要检验整个夹具结构是否能满足设计任务目标，如果有差错，要对相关元件进行修改编辑，并重新调整装配结构，直至实现设计目标。</w:t>
      </w:r>
    </w:p>
    <w:p w14:paraId="1613FF1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4.绘制夹具图样</w:t>
      </w:r>
    </w:p>
    <w:p w14:paraId="56997FE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按照设计任务要求，用UG的制图应用模块，绘制全部的夹具元件和夹具装配的工程图，并根据夹具中常用的公差配合的内容，对全部图样进行技术标注。</w:t>
      </w:r>
    </w:p>
    <w:p w14:paraId="725D34D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二、通孔弹性夹头定心夹具的设计</w:t>
      </w:r>
    </w:p>
    <w:p w14:paraId="0B3DA1A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通孔弹性夹头定心夹具是以具有弹性结构的内夹头作为定位和夹紧元件来装夹工件的。以车削限位衬套工件用夹具的具体设计步骤和方法为例进行讲述。</w:t>
      </w:r>
    </w:p>
    <w:p w14:paraId="7978C027">
      <w:pPr>
        <w:widowControl w:val="0"/>
        <w:wordWrap/>
        <w:adjustRightInd/>
        <w:snapToGrid/>
        <w:spacing w:before="0" w:after="0" w:line="360" w:lineRule="auto"/>
        <w:ind w:left="0" w:leftChars="0" w:right="0" w:firstLine="420" w:firstLineChars="200"/>
        <w:jc w:val="center"/>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25" o:spt="75" alt="image260.jpeg" type="#_x0000_t75" style="height:106.25pt;width:142pt;" fillcolor="#FFFFFF" filled="f" o:preferrelative="t" stroked="f" coordsize="21600,21600">
            <v:path/>
            <v:fill on="f" color2="#FFFFFF" o:opacity2="65536f" focussize="0,0"/>
            <v:stroke on="f"/>
            <v:imagedata r:id="rId4" gain="65536f" blacklevel="0f" gamma="0" o:title="image260"/>
            <o:lock v:ext="edit" position="f" selection="f" grouping="f" rotation="f" cropping="f" text="f" aspectratio="t"/>
            <w10:wrap type="none"/>
            <w10:anchorlock/>
          </v:shape>
        </w:pict>
      </w:r>
    </w:p>
    <w:p w14:paraId="7A542535">
      <w:pPr>
        <w:widowControl w:val="0"/>
        <w:numPr>
          <w:ilvl w:val="0"/>
          <w:numId w:val="1"/>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确定定位方案</w:t>
      </w:r>
    </w:p>
    <w:p w14:paraId="2FE2DE0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根据基准重合的原则，选择ϕ40内孔及ϕ56外圆端面作为定位基准。孔定位元件为内夹式弹性夹头，端面定位元件为5号莫氏锥柄心轴的端面。</w:t>
      </w:r>
    </w:p>
    <w:p w14:paraId="0346D6F5">
      <w:pPr>
        <w:widowControl w:val="0"/>
        <w:numPr>
          <w:ilvl w:val="0"/>
          <w:numId w:val="2"/>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设计工件实体模型</w:t>
      </w:r>
    </w:p>
    <w:p w14:paraId="6872DF0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按照限位衬套工件工程图设计好工件的实体模型，在UG的装配环境下将其调入，并确定其在三维空间的适合位置上。</w:t>
      </w:r>
    </w:p>
    <w:p w14:paraId="1BB64020">
      <w:pPr>
        <w:widowControl w:val="0"/>
        <w:numPr>
          <w:ilvl w:val="0"/>
          <w:numId w:val="2"/>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设计定位元件</w:t>
      </w:r>
    </w:p>
    <w:p w14:paraId="38DC2DE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根据限位衬套工件的内孔尺寸和长度尺寸，分别设计出内夹式弹性夹头和莫氏5号锥柄心轴。</w:t>
      </w:r>
    </w:p>
    <w:p w14:paraId="3928D06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26" o:spt="75" alt="image263.jpeg" type="#_x0000_t75" style="height:75.75pt;width:250.5pt;" fillcolor="#FFFFFF" filled="f" o:preferrelative="t" stroked="f" coordsize="21600,21600">
            <v:path/>
            <v:fill on="f" color2="#FFFFFF" o:opacity2="65536f" focussize="0,0"/>
            <v:stroke on="f"/>
            <v:imagedata r:id="rId5" gain="65536f" blacklevel="0f" gamma="0" o:title="image263"/>
            <o:lock v:ext="edit" position="f" selection="f" grouping="f" rotation="f" cropping="f" text="f" aspectratio="t"/>
            <w10:wrap type="none"/>
            <w10:anchorlock/>
          </v:shape>
        </w:pict>
      </w:r>
    </w:p>
    <w:p w14:paraId="4B6AB02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2.确定夹紧方案</w:t>
      </w:r>
    </w:p>
    <w:p w14:paraId="3090C26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心轴类夹具需要从工件的内部将工件夹紧。该夹具采用锥形胀套的轴向推动使弹性夹头产生弹性变形，从而将工件的内孔胀紧，达到夹紧的目的。</w:t>
      </w:r>
    </w:p>
    <w:p w14:paraId="1A706D8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27" o:spt="75" alt="image262.jpeg" type="#_x0000_t75" style="height:124.9pt;width:166.1pt;" fillcolor="#FFFFFF" filled="f" o:preferrelative="t" stroked="f" coordsize="21600,21600">
            <v:path/>
            <v:fill on="f" color2="#FFFFFF" o:opacity2="65536f" focussize="0,0"/>
            <v:stroke on="f"/>
            <v:imagedata r:id="rId6" gain="65536f" blacklevel="0f" gamma="0" o:title="image262"/>
            <o:lock v:ext="edit" position="f" selection="f" grouping="f" rotation="f" cropping="f" text="f" aspectratio="t"/>
            <w10:wrap type="none"/>
            <w10:anchorlock/>
          </v:shape>
        </w:pict>
      </w:r>
    </w:p>
    <w:p w14:paraId="763DEAA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(1)设计夹紧元件</w:t>
      </w:r>
    </w:p>
    <w:p w14:paraId="65BEB10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为实现内孔胀紧功能，可根据定位元件的结构和尺寸设计出与弹性夹头内锥面相匹配的锥形胀套。</w:t>
      </w:r>
    </w:p>
    <w:p w14:paraId="673C166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28" o:spt="75" alt="image265.jpeg" type="#_x0000_t75" style="height:73.35pt;width:136.5pt;" fillcolor="#FFFFFF" filled="f" o:preferrelative="t" stroked="f" coordsize="21600,21600">
            <v:path/>
            <v:fill on="f" color2="#FFFFFF" o:opacity2="65536f" focussize="0,0"/>
            <v:stroke on="f"/>
            <v:imagedata r:id="rId7" gain="65536f" blacklevel="0f" gamma="0" o:title="image265"/>
            <o:lock v:ext="edit" position="f" selection="f" grouping="f" rotation="f" cropping="f" text="f" aspectratio="t"/>
            <w10:wrap type="none"/>
            <w10:anchorlock/>
          </v:shape>
        </w:pict>
      </w:r>
    </w:p>
    <w:p w14:paraId="5D04DDC5">
      <w:pPr>
        <w:widowControl w:val="0"/>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（2）设计紧固元件</w:t>
      </w:r>
    </w:p>
    <w:p w14:paraId="7E0E8D5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本夹紧结构采用螺旋夹紧方式，其结构和元件都非常简单，且具有良好的自锁性能，夹紧可靠。</w:t>
      </w:r>
    </w:p>
    <w:p w14:paraId="317C262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29" o:spt="75" alt="image266.jpeg" type="#_x0000_t75" style="height:75.4pt;width:82.8pt;" fillcolor="#FFFFFF" filled="f" o:preferrelative="t" stroked="f" coordsize="21600,21600">
            <v:path/>
            <v:fill on="f" color2="#FFFFFF" o:opacity2="65536f" focussize="0,0"/>
            <v:stroke on="f"/>
            <v:imagedata r:id="rId8" gain="65536f" blacklevel="0f" gamma="0" o:title="image266"/>
            <o:lock v:ext="edit" position="f" selection="f" grouping="f" rotation="f" cropping="f" text="f" aspectratio="t"/>
            <w10:wrap type="none"/>
            <w10:anchorlock/>
          </v:shape>
        </w:pict>
      </w:r>
      <w:r>
        <w:rPr>
          <w:rFonts w:ascii="Calibri" w:hAnsi="Calibri" w:eastAsia="宋体" w:cs="Times New Roman"/>
          <w:kern w:val="2"/>
          <w:sz w:val="21"/>
          <w:szCs w:val="22"/>
          <w:lang w:val="en-US" w:eastAsia="zh-CN" w:bidi="ar-SA"/>
        </w:rPr>
        <w:pict>
          <v:shape id="_x0000_i1030" o:spt="75" alt="image267.jpeg" type="#_x0000_t75" style="height:91.05pt;width:100.45pt;" fillcolor="#FFFFFF" filled="f" o:preferrelative="t" stroked="f" coordsize="21600,21600">
            <v:path/>
            <v:fill on="f" color2="#FFFFFF" o:opacity2="65536f" focussize="0,0"/>
            <v:stroke on="f"/>
            <v:imagedata r:id="rId9" gain="65536f" blacklevel="0f" gamma="0" o:title="image267"/>
            <o:lock v:ext="edit" position="f" selection="f" grouping="f" rotation="f" cropping="f" text="f" aspectratio="t"/>
            <w10:wrap type="none"/>
            <w10:anchorlock/>
          </v:shape>
        </w:pict>
      </w:r>
      <w:r>
        <w:rPr>
          <w:rFonts w:ascii="Calibri" w:hAnsi="Calibri" w:eastAsia="宋体" w:cs="Times New Roman"/>
          <w:kern w:val="2"/>
          <w:sz w:val="21"/>
          <w:szCs w:val="22"/>
          <w:lang w:val="en-US" w:eastAsia="zh-CN" w:bidi="ar-SA"/>
        </w:rPr>
        <w:pict>
          <v:shape id="_x0000_i1031" o:spt="75" alt="image268.jpeg" type="#_x0000_t75" style="height:121.3pt;width:53.15pt;" fillcolor="#FFFFFF" filled="f" o:preferrelative="t" stroked="f" coordsize="21600,21600">
            <v:path/>
            <v:fill on="f" color2="#FFFFFF" o:opacity2="65536f" focussize="0,0"/>
            <v:stroke on="f"/>
            <v:imagedata r:id="rId10" gain="65536f" blacklevel="0f" gamma="0" o:title="image268"/>
            <o:lock v:ext="edit" position="f" selection="f" grouping="f" rotation="f" cropping="f" text="f" aspectratio="t"/>
            <w10:wrap type="none"/>
            <w10:anchorlock/>
          </v:shape>
        </w:pict>
      </w:r>
    </w:p>
    <w:p w14:paraId="0F8369B4">
      <w:pPr>
        <w:widowControl w:val="0"/>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（3）组装夹紧机构</w:t>
      </w:r>
    </w:p>
    <w:p w14:paraId="61D1344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根据夹紧方案将夹紧元件和紧固元件装配到夹具中。</w:t>
      </w:r>
    </w:p>
    <w:p w14:paraId="50A7EC0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3.夹具的特点</w:t>
      </w:r>
    </w:p>
    <w:p w14:paraId="52AEE550">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本夹具最大的特点是结构简单、使用元件数量少、工艺性能好、制造方便、成本低廉，且夹具的日常维护十分方便。本夹具适用于具有通孔结构工件的加工。</w:t>
      </w:r>
    </w:p>
    <w:p w14:paraId="0585EE24">
      <w:pPr>
        <w:widowControl w:val="0"/>
        <w:wordWrap/>
        <w:adjustRightInd/>
        <w:snapToGrid/>
        <w:spacing w:before="0" w:after="0" w:line="360" w:lineRule="auto"/>
        <w:ind w:right="0"/>
        <w:jc w:val="left"/>
        <w:textAlignment w:val="auto"/>
        <w:outlineLvl w:val="9"/>
        <w:rPr>
          <w:rFonts w:hint="eastAsia"/>
          <w:lang w:val="en-US" w:eastAsia="zh-CN"/>
        </w:rPr>
      </w:pPr>
      <w:r>
        <w:rPr>
          <w:rFonts w:hint="eastAsia"/>
          <w:lang w:val="en-US" w:eastAsia="zh-CN"/>
        </w:rPr>
        <w:t>4.夹具的使用方法</w:t>
      </w:r>
    </w:p>
    <w:p w14:paraId="43F9D7C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将夹具体（5号锥柄心轴）安装到车床的主轴孔中，并通过拉杆从车床主轴孔另一端紧固到心轴的螺纹孔中。</w:t>
      </w:r>
    </w:p>
    <w:p w14:paraId="36E8816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ascii="Calibri" w:hAnsi="Calibri" w:eastAsia="宋体" w:cs="Times New Roman"/>
          <w:kern w:val="2"/>
          <w:sz w:val="21"/>
          <w:szCs w:val="22"/>
          <w:lang w:val="en-US" w:eastAsia="zh-CN" w:bidi="ar-SA"/>
        </w:rPr>
        <w:pict>
          <v:shape id="_x0000_i1032" o:spt="75" alt="image269.jpeg" type="#_x0000_t75" style="height:129.2pt;width:190.4pt;" fillcolor="#FFFFFF" filled="f" o:preferrelative="t" stroked="f" coordsize="21600,21600">
            <v:path/>
            <v:fill on="f" color2="#FFFFFF" o:opacity2="65536f" focussize="0,0"/>
            <v:stroke on="f"/>
            <v:imagedata r:id="rId11" gain="65536f" blacklevel="0f" gamma="0" o:title="image269"/>
            <o:lock v:ext="edit" position="f" selection="f" grouping="f" rotation="f" cropping="f" text="f" aspectratio="t"/>
            <w10:wrap type="none"/>
            <w10:anchorlock/>
          </v:shape>
        </w:pict>
      </w:r>
    </w:p>
    <w:bookmarkEnd w:id="0"/>
    <w:p w14:paraId="438AC86F">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1C8A1815">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20B9A"/>
    <w:multiLevelType w:val="singleLevel"/>
    <w:tmpl w:val="62220B9A"/>
    <w:lvl w:ilvl="0" w:tentative="0">
      <w:start w:val="1"/>
      <w:numFmt w:val="decimal"/>
      <w:suff w:val="nothing"/>
      <w:lvlText w:val="%1."/>
      <w:lvlJc w:val="left"/>
    </w:lvl>
  </w:abstractNum>
  <w:abstractNum w:abstractNumId="1">
    <w:nsid w:val="62220BC3"/>
    <w:multiLevelType w:val="singleLevel"/>
    <w:tmpl w:val="62220BC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2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17E85D5B"/>
    <w:rsid w:val="224709FC"/>
    <w:rsid w:val="301717E6"/>
    <w:rsid w:val="603610B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uiPriority w:val="0"/>
    <w:pPr>
      <w:ind w:left="100" w:leftChars="2500"/>
    </w:pPr>
    <w:rPr>
      <w:rFonts w:ascii="Times New Roman" w:hAnsi="Times New Roman" w:eastAsia="宋体" w:cs="Times New Roman"/>
      <w:szCs w:val="24"/>
    </w:rPr>
  </w:style>
  <w:style w:type="paragraph" w:styleId="4">
    <w:name w:val="Balloon Text"/>
    <w:basedOn w:val="1"/>
    <w:link w:val="14"/>
    <w:semiHidden/>
    <w:unhideWhenUsed/>
    <w:uiPriority w:val="99"/>
    <w:rPr>
      <w:sz w:val="18"/>
      <w:szCs w:val="18"/>
    </w:rPr>
  </w:style>
  <w:style w:type="paragraph" w:styleId="5">
    <w:name w:val="footer"/>
    <w:basedOn w:val="1"/>
    <w:link w:val="12"/>
    <w:autoRedefine/>
    <w:unhideWhenUsed/>
    <w:uiPriority w:val="0"/>
    <w:pPr>
      <w:tabs>
        <w:tab w:val="center" w:pos="4153"/>
        <w:tab w:val="right" w:pos="8306"/>
      </w:tabs>
      <w:snapToGrid w:val="0"/>
      <w:jc w:val="left"/>
    </w:pPr>
    <w:rPr>
      <w:sz w:val="18"/>
      <w:szCs w:val="18"/>
    </w:rPr>
  </w:style>
  <w:style w:type="paragraph" w:styleId="6">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uiPriority w:val="0"/>
    <w:rPr>
      <w:color w:val="0000FF"/>
      <w:u w:val="single"/>
    </w:rPr>
  </w:style>
  <w:style w:type="paragraph" w:customStyle="1" w:styleId="10">
    <w:name w:val="No Spacing"/>
    <w:autoRedefine/>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autoRedefine/>
    <w:uiPriority w:val="99"/>
    <w:rPr>
      <w:sz w:val="18"/>
      <w:szCs w:val="18"/>
    </w:rPr>
  </w:style>
  <w:style w:type="character" w:customStyle="1" w:styleId="12">
    <w:name w:val="页脚 Char"/>
    <w:basedOn w:val="8"/>
    <w:link w:val="5"/>
    <w:uiPriority w:val="99"/>
    <w:rPr>
      <w:sz w:val="18"/>
      <w:szCs w:val="18"/>
    </w:rPr>
  </w:style>
  <w:style w:type="character" w:customStyle="1" w:styleId="13">
    <w:name w:val="日期 Char"/>
    <w:basedOn w:val="8"/>
    <w:link w:val="3"/>
    <w:autoRedefine/>
    <w:uiPriority w:val="0"/>
    <w:rPr>
      <w:rFonts w:ascii="Times New Roman" w:hAnsi="Times New Roman" w:eastAsia="宋体" w:cs="Times New Roman"/>
      <w:szCs w:val="24"/>
    </w:rPr>
  </w:style>
  <w:style w:type="character" w:customStyle="1" w:styleId="14">
    <w:name w:val="批注框文本 Char"/>
    <w:basedOn w:val="8"/>
    <w:link w:val="4"/>
    <w:autoRedefine/>
    <w:semiHidden/>
    <w:uiPriority w:val="99"/>
    <w:rPr>
      <w:sz w:val="18"/>
      <w:szCs w:val="18"/>
    </w:rPr>
  </w:style>
  <w:style w:type="character" w:customStyle="1" w:styleId="15">
    <w:name w:val="标题 3 Char"/>
    <w:basedOn w:val="8"/>
    <w:link w:val="2"/>
    <w:autoRedefine/>
    <w:uiPriority w:val="0"/>
    <w:rPr>
      <w:b/>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1487</Words>
  <Characters>1514</Characters>
  <Lines>8</Lines>
  <Paragraphs>2</Paragraphs>
  <TotalTime>0</TotalTime>
  <ScaleCrop>false</ScaleCrop>
  <LinksUpToDate>false</LinksUpToDate>
  <CharactersWithSpaces>1565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2025-02-25T07:47:47Z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88926CC885104737A4AA580CED4D234B_12</vt:lpwstr>
  </property>
  <property fmtid="{D5CDD505-2E9C-101B-9397-08002B2CF9AE}" pid="4" name="KSOTemplateDocerSaveRecord">
    <vt:lpwstr>eyJoZGlkIjoiZWQ0ODM0N2Y0NGUzNTlhZDQxMmE0OTFhODFmZjcyYzAifQ==</vt:lpwstr>
  </property>
</Properties>
</file>